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0"/>
        <w:pBdr>
          <w:bottom w:val="single" w:sz="24" w:space="1" w:color="1A3A6C"/>
        </w:pBdr>
      </w:pPr>
    </w:p>
    <w:p>
      <w:pPr>
        <w:spacing w:before="400" w:after="80"/>
        <w:jc w:val="center"/>
      </w:pPr>
      <w:r>
        <w:rPr>
          <w:b/>
          <w:i w:val="0"/>
          <w:color w:val="1A3A6C"/>
          <w:sz w:val="44"/>
        </w:rPr>
        <w:t>数字化转型服务供应商初筛建议报告</w:t>
      </w:r>
    </w:p>
    <w:p>
      <w:pPr>
        <w:spacing w:before="0" w:after="160"/>
        <w:jc w:val="center"/>
      </w:pPr>
      <w:r>
        <w:rPr>
          <w:b w:val="0"/>
          <w:i w:val="0"/>
          <w:color w:val="277DA1"/>
          <w:sz w:val="24"/>
        </w:rPr>
        <w:t>—— 基于10家供应商沟通纪要及报价综合评估</w:t>
      </w:r>
    </w:p>
    <w:p>
      <w:pPr>
        <w:spacing w:before="40" w:after="280"/>
        <w:jc w:val="center"/>
      </w:pPr>
      <w:r>
        <w:rPr>
          <w:b w:val="0"/>
          <w:i w:val="0"/>
          <w:color w:val="6B7A8D"/>
          <w:sz w:val="20"/>
        </w:rPr>
        <w:t>编制日期：2026年6月4日    |    预算口径：10万元以内    |    评估维度：业务匹配度 · 报价合理性 · 交付可信度</w:t>
      </w:r>
    </w:p>
    <w:p>
      <w:pPr>
        <w:spacing w:before="0" w:after="0"/>
        <w:pBdr>
          <w:bottom w:val="single" w:sz="20" w:space="1" w:color="1A3A6C"/>
        </w:pBdr>
      </w:pPr>
    </w:p>
    <w:p/>
    <w:p>
      <w:pPr>
        <w:spacing w:before="120" w:after="80"/>
        <w:jc w:val="left"/>
      </w:pPr>
      <w:r>
        <w:rPr>
          <w:b/>
          <w:i w:val="0"/>
          <w:color w:val="1A3A6C"/>
          <w:sz w:val="28"/>
        </w:rPr>
        <w:t>一、评估背景与目的</w:t>
      </w:r>
    </w:p>
    <w:p>
      <w:pPr>
        <w:spacing w:before="0" w:after="0"/>
        <w:pBdr>
          <w:bottom w:val="single" w:sz="6" w:space="1" w:color="277DA1"/>
        </w:pBdr>
      </w:pPr>
    </w:p>
    <w:p>
      <w:pPr>
        <w:spacing w:before="160" w:after="80"/>
      </w:pPr>
      <w:r>
        <w:rPr>
          <w:color w:val="1F2D3D"/>
          <w:sz w:val="22"/>
        </w:rPr>
        <w:t>本轮数字化建设核心目标为企业内部降本增效，重点覆盖销售跟进、采购管理、库存管控、财务费用、客服运营、跨部门协同及经营数据分析七个方向。为此，我们于2026年4月8日至17日，先后与10家数字化转型服务供应商完成初步沟通，收集了各方方案思路与初步报价。</w:t>
        <w:br/>
        <w:br/>
        <w:t>本报告在充分阅读全部10份沟通纪要的基础上，从预算匹配度、业务覆盖度、交付可落地性三个维度综合评估，按优先级筛选出最符合当前阶段需求的前三家供应商，供领导审阅决策，同时列出下一步沟通的关键确认事项。</w:t>
      </w:r>
    </w:p>
    <w:p/>
    <w:p>
      <w:pPr>
        <w:spacing w:before="120" w:after="80"/>
        <w:jc w:val="left"/>
      </w:pPr>
      <w:r>
        <w:rPr>
          <w:b/>
          <w:i w:val="0"/>
          <w:color w:val="1A3A6C"/>
          <w:sz w:val="28"/>
        </w:rPr>
        <w:t>二、全部供应商概览</w:t>
      </w:r>
    </w:p>
    <w:p>
      <w:pPr>
        <w:spacing w:before="0" w:after="0"/>
        <w:pBdr>
          <w:bottom w:val="single" w:sz="6" w:space="1" w:color="277DA1"/>
        </w:pBdr>
      </w:pPr>
    </w:p>
    <w:p>
      <w:pPr>
        <w:spacing w:before="120" w:after="120"/>
        <w:jc w:val="left"/>
      </w:pPr>
      <w:r>
        <w:rPr>
          <w:b w:val="0"/>
          <w:i w:val="0"/>
          <w:color w:val="6B7A8D"/>
          <w:sz w:val="22"/>
        </w:rPr>
        <w:t>下表汇总10家供应商的核心定位、初步报价及预算适配情况，供整体参考。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C6D5E8"/>
          <w:left w:val="single" w:sz="4" w:space="0" w:color="C6D5E8"/>
          <w:bottom w:val="single" w:sz="4" w:space="0" w:color="C6D5E8"/>
          <w:right w:val="single" w:sz="4" w:space="0" w:color="C6D5E8"/>
          <w:insideH w:val="single" w:sz="4" w:space="0" w:color="C6D5E8"/>
          <w:insideV w:val="single" w:sz="4" w:space="0" w:color="C6D5E8"/>
        </w:tblBorders>
      </w:tblPr>
      <w:tblGrid>
        <w:gridCol w:w="1746"/>
        <w:gridCol w:w="1746"/>
        <w:gridCol w:w="1746"/>
        <w:gridCol w:w="1746"/>
        <w:gridCol w:w="1746"/>
      </w:tblGrid>
      <w:tr>
        <w:tc>
          <w:tcPr>
            <w:tcW w:type="dxa" w:w="1417"/>
            <w:vAlign w:val="center"/>
            <w:shd w:val="clear" w:color="auto" w:fill="1A3A6C"/>
          </w:tcPr>
          <w:p>
            <w:pPr>
              <w:spacing w:before="60" w:after="60"/>
              <w:jc w:val="center"/>
            </w:pPr>
            <w:r>
              <w:rPr>
                <w:b/>
                <w:color w:val="FFFFFF"/>
                <w:sz w:val="19"/>
              </w:rPr>
              <w:t>供应商</w:t>
            </w:r>
          </w:p>
        </w:tc>
        <w:tc>
          <w:tcPr>
            <w:tcW w:type="dxa" w:w="2268"/>
            <w:vAlign w:val="center"/>
            <w:shd w:val="clear" w:color="auto" w:fill="1A3A6C"/>
          </w:tcPr>
          <w:p>
            <w:pPr>
              <w:spacing w:before="60" w:after="60"/>
              <w:jc w:val="left"/>
            </w:pPr>
            <w:r>
              <w:rPr>
                <w:b/>
                <w:color w:val="FFFFFF"/>
                <w:sz w:val="19"/>
              </w:rPr>
              <w:t>主要定位</w:t>
            </w:r>
          </w:p>
        </w:tc>
        <w:tc>
          <w:tcPr>
            <w:tcW w:type="dxa" w:w="1587"/>
            <w:vAlign w:val="center"/>
            <w:shd w:val="clear" w:color="auto" w:fill="1A3A6C"/>
          </w:tcPr>
          <w:p>
            <w:pPr>
              <w:spacing w:before="60" w:after="60"/>
              <w:jc w:val="center"/>
            </w:pPr>
            <w:r>
              <w:rPr>
                <w:b/>
                <w:color w:val="FFFFFF"/>
                <w:sz w:val="19"/>
              </w:rPr>
              <w:t>初步报价（元）</w:t>
            </w:r>
          </w:p>
        </w:tc>
        <w:tc>
          <w:tcPr>
            <w:tcW w:type="dxa" w:w="1134"/>
            <w:vAlign w:val="center"/>
            <w:shd w:val="clear" w:color="auto" w:fill="1A3A6C"/>
          </w:tcPr>
          <w:p>
            <w:pPr>
              <w:spacing w:before="60" w:after="60"/>
              <w:jc w:val="center"/>
            </w:pPr>
            <w:r>
              <w:rPr>
                <w:b/>
                <w:color w:val="FFFFFF"/>
                <w:sz w:val="19"/>
              </w:rPr>
              <w:t>预算适配</w:t>
            </w:r>
          </w:p>
        </w:tc>
        <w:tc>
          <w:tcPr>
            <w:tcW w:type="dxa" w:w="2948"/>
            <w:vAlign w:val="center"/>
            <w:shd w:val="clear" w:color="auto" w:fill="1A3A6C"/>
          </w:tcPr>
          <w:p>
            <w:pPr>
              <w:spacing w:before="60" w:after="60"/>
              <w:jc w:val="left"/>
            </w:pPr>
            <w:r>
              <w:rPr>
                <w:b/>
                <w:color w:val="FFFFFF"/>
                <w:sz w:val="19"/>
              </w:rPr>
              <w:t>备注</w:t>
            </w:r>
          </w:p>
        </w:tc>
      </w:tr>
      <w:tr>
        <w:tc>
          <w:tcPr>
            <w:tcW w:type="dxa" w:w="1417"/>
            <w:vAlign w:val="center"/>
            <w:shd w:val="clear" w:color="auto" w:fill="FFFFFF"/>
          </w:tcPr>
          <w:p>
            <w:pPr>
              <w:spacing w:before="60" w:after="60"/>
              <w:jc w:val="center"/>
            </w:pPr>
            <w:r>
              <w:rPr>
                <w:b/>
                <w:color w:val="1A3A6C"/>
                <w:sz w:val="19"/>
              </w:rPr>
              <w:t>云序数科</w:t>
            </w:r>
          </w:p>
        </w:tc>
        <w:tc>
          <w:tcPr>
            <w:tcW w:type="dxa" w:w="2268"/>
            <w:vAlign w:val="center"/>
            <w:shd w:val="clear" w:color="auto" w:fill="FFFFFF"/>
          </w:tcPr>
          <w:p>
            <w:pPr>
              <w:spacing w:before="60" w:after="60"/>
              <w:jc w:val="left"/>
            </w:pPr>
            <w:r>
              <w:rPr>
                <w:sz w:val="19"/>
              </w:rPr>
              <w:t>低代码流程线上化</w:t>
            </w:r>
          </w:p>
        </w:tc>
        <w:tc>
          <w:tcPr>
            <w:tcW w:type="dxa" w:w="1587"/>
            <w:vAlign w:val="center"/>
            <w:shd w:val="clear" w:color="auto" w:fill="FFFFFF"/>
          </w:tcPr>
          <w:p>
            <w:pPr>
              <w:spacing w:before="60" w:after="60"/>
              <w:jc w:val="center"/>
            </w:pPr>
            <w:r>
              <w:rPr>
                <w:sz w:val="19"/>
              </w:rPr>
              <w:t>98,600</w:t>
            </w:r>
          </w:p>
        </w:tc>
        <w:tc>
          <w:tcPr>
            <w:tcW w:type="dxa" w:w="1134"/>
            <w:vAlign w:val="center"/>
            <w:shd w:val="clear" w:color="auto" w:fill="EAF5EE"/>
          </w:tcPr>
          <w:p>
            <w:pPr>
              <w:spacing w:before="60" w:after="60"/>
              <w:jc w:val="center"/>
            </w:pPr>
            <w:r>
              <w:rPr>
                <w:b/>
                <w:color w:val="1A7A4A"/>
                <w:sz w:val="19"/>
              </w:rPr>
              <w:t>✓ 适配</w:t>
            </w:r>
          </w:p>
        </w:tc>
        <w:tc>
          <w:tcPr>
            <w:tcW w:type="dxa" w:w="2948"/>
            <w:vAlign w:val="center"/>
            <w:shd w:val="clear" w:color="auto" w:fill="FFFFFF"/>
          </w:tcPr>
          <w:p>
            <w:pPr>
              <w:spacing w:before="60" w:after="60"/>
              <w:jc w:val="left"/>
            </w:pPr>
            <w:r>
              <w:rPr>
                <w:sz w:val="19"/>
              </w:rPr>
              <w:t>采购+报销+物料，边界清晰</w:t>
            </w:r>
          </w:p>
        </w:tc>
      </w:tr>
      <w:tr>
        <w:tc>
          <w:tcPr>
            <w:tcW w:type="dxa" w:w="1417"/>
            <w:vAlign w:val="center"/>
            <w:shd w:val="clear" w:color="auto" w:fill="F5F8FC"/>
          </w:tcPr>
          <w:p>
            <w:pPr>
              <w:spacing w:before="60" w:after="60"/>
              <w:jc w:val="center"/>
            </w:pPr>
            <w:r>
              <w:rPr>
                <w:b/>
                <w:color w:val="1A3A6C"/>
                <w:sz w:val="19"/>
              </w:rPr>
              <w:t>织流自动化</w:t>
            </w:r>
          </w:p>
        </w:tc>
        <w:tc>
          <w:tcPr>
            <w:tcW w:type="dxa" w:w="2268"/>
            <w:vAlign w:val="center"/>
            <w:shd w:val="clear" w:color="auto" w:fill="F5F8FC"/>
          </w:tcPr>
          <w:p>
            <w:pPr>
              <w:spacing w:before="60" w:after="60"/>
              <w:jc w:val="left"/>
            </w:pPr>
            <w:r>
              <w:rPr>
                <w:sz w:val="19"/>
              </w:rPr>
              <w:t>财务RPA重复劳动自动化</w:t>
            </w:r>
          </w:p>
        </w:tc>
        <w:tc>
          <w:tcPr>
            <w:tcW w:type="dxa" w:w="1587"/>
            <w:vAlign w:val="center"/>
            <w:shd w:val="clear" w:color="auto" w:fill="F5F8FC"/>
          </w:tcPr>
          <w:p>
            <w:pPr>
              <w:spacing w:before="60" w:after="60"/>
              <w:jc w:val="center"/>
            </w:pPr>
            <w:r>
              <w:rPr>
                <w:sz w:val="19"/>
              </w:rPr>
              <w:t>86,000</w:t>
            </w:r>
          </w:p>
        </w:tc>
        <w:tc>
          <w:tcPr>
            <w:tcW w:type="dxa" w:w="1134"/>
            <w:vAlign w:val="center"/>
            <w:shd w:val="clear" w:color="auto" w:fill="EAF5EE"/>
          </w:tcPr>
          <w:p>
            <w:pPr>
              <w:spacing w:before="60" w:after="60"/>
              <w:jc w:val="center"/>
            </w:pPr>
            <w:r>
              <w:rPr>
                <w:b/>
                <w:color w:val="1A7A4A"/>
                <w:sz w:val="19"/>
              </w:rPr>
              <w:t>✓ 适配</w:t>
            </w:r>
          </w:p>
        </w:tc>
        <w:tc>
          <w:tcPr>
            <w:tcW w:type="dxa" w:w="2948"/>
            <w:vAlign w:val="center"/>
            <w:shd w:val="clear" w:color="auto" w:fill="F5F8FC"/>
          </w:tcPr>
          <w:p>
            <w:pPr>
              <w:spacing w:before="60" w:after="60"/>
              <w:jc w:val="left"/>
            </w:pPr>
            <w:r>
              <w:rPr>
                <w:sz w:val="19"/>
              </w:rPr>
              <w:t>银行流水/发票/报销附件</w:t>
            </w:r>
          </w:p>
        </w:tc>
      </w:tr>
      <w:tr>
        <w:tc>
          <w:tcPr>
            <w:tcW w:type="dxa" w:w="1417"/>
            <w:vAlign w:val="center"/>
            <w:shd w:val="clear" w:color="auto" w:fill="FFFFFF"/>
          </w:tcPr>
          <w:p>
            <w:pPr>
              <w:spacing w:before="60" w:after="60"/>
              <w:jc w:val="center"/>
            </w:pPr>
            <w:r>
              <w:rPr>
                <w:b/>
                <w:color w:val="1A3A6C"/>
                <w:sz w:val="19"/>
              </w:rPr>
              <w:t>企答智能</w:t>
            </w:r>
          </w:p>
        </w:tc>
        <w:tc>
          <w:tcPr>
            <w:tcW w:type="dxa" w:w="2268"/>
            <w:vAlign w:val="center"/>
            <w:shd w:val="clear" w:color="auto" w:fill="FFFFFF"/>
          </w:tcPr>
          <w:p>
            <w:pPr>
              <w:spacing w:before="60" w:after="60"/>
              <w:jc w:val="left"/>
            </w:pPr>
            <w:r>
              <w:rPr>
                <w:sz w:val="19"/>
              </w:rPr>
              <w:t>客服知识库+AI辅助</w:t>
            </w:r>
          </w:p>
        </w:tc>
        <w:tc>
          <w:tcPr>
            <w:tcW w:type="dxa" w:w="1587"/>
            <w:vAlign w:val="center"/>
            <w:shd w:val="clear" w:color="auto" w:fill="FFFFFF"/>
          </w:tcPr>
          <w:p>
            <w:pPr>
              <w:spacing w:before="60" w:after="60"/>
              <w:jc w:val="center"/>
            </w:pPr>
            <w:r>
              <w:rPr>
                <w:sz w:val="19"/>
              </w:rPr>
              <w:t>76,800</w:t>
            </w:r>
          </w:p>
        </w:tc>
        <w:tc>
          <w:tcPr>
            <w:tcW w:type="dxa" w:w="1134"/>
            <w:vAlign w:val="center"/>
            <w:shd w:val="clear" w:color="auto" w:fill="EAF5EE"/>
          </w:tcPr>
          <w:p>
            <w:pPr>
              <w:spacing w:before="60" w:after="60"/>
              <w:jc w:val="center"/>
            </w:pPr>
            <w:r>
              <w:rPr>
                <w:b/>
                <w:color w:val="1A7A4A"/>
                <w:sz w:val="19"/>
              </w:rPr>
              <w:t>✓ 适配</w:t>
            </w:r>
          </w:p>
        </w:tc>
        <w:tc>
          <w:tcPr>
            <w:tcW w:type="dxa" w:w="2948"/>
            <w:vAlign w:val="center"/>
            <w:shd w:val="clear" w:color="auto" w:fill="FFFFFF"/>
          </w:tcPr>
          <w:p>
            <w:pPr>
              <w:spacing w:before="60" w:after="60"/>
              <w:jc w:val="left"/>
            </w:pPr>
            <w:r>
              <w:rPr>
                <w:sz w:val="19"/>
              </w:rPr>
              <w:t>内部助手，资料质量是关键</w:t>
            </w:r>
          </w:p>
        </w:tc>
      </w:tr>
      <w:tr>
        <w:tc>
          <w:tcPr>
            <w:tcW w:type="dxa" w:w="1417"/>
            <w:vAlign w:val="center"/>
            <w:shd w:val="clear" w:color="auto" w:fill="F5F8FC"/>
          </w:tcPr>
          <w:p>
            <w:pPr>
              <w:spacing w:before="60" w:after="60"/>
              <w:jc w:val="center"/>
            </w:pPr>
            <w:r>
              <w:rPr>
                <w:b/>
                <w:color w:val="1A3A6C"/>
                <w:sz w:val="19"/>
              </w:rPr>
              <w:t>聚优客服云</w:t>
            </w:r>
          </w:p>
        </w:tc>
        <w:tc>
          <w:tcPr>
            <w:tcW w:type="dxa" w:w="2268"/>
            <w:vAlign w:val="center"/>
            <w:shd w:val="clear" w:color="auto" w:fill="F5F8FC"/>
          </w:tcPr>
          <w:p>
            <w:pPr>
              <w:spacing w:before="60" w:after="60"/>
              <w:jc w:val="left"/>
            </w:pPr>
            <w:r>
              <w:rPr>
                <w:sz w:val="19"/>
              </w:rPr>
              <w:t>客服工单+反馈闭环</w:t>
            </w:r>
          </w:p>
        </w:tc>
        <w:tc>
          <w:tcPr>
            <w:tcW w:type="dxa" w:w="1587"/>
            <w:vAlign w:val="center"/>
            <w:shd w:val="clear" w:color="auto" w:fill="F5F8FC"/>
          </w:tcPr>
          <w:p>
            <w:pPr>
              <w:spacing w:before="60" w:after="60"/>
              <w:jc w:val="center"/>
            </w:pPr>
            <w:r>
              <w:rPr>
                <w:sz w:val="19"/>
              </w:rPr>
              <w:t>83,600</w:t>
            </w:r>
          </w:p>
        </w:tc>
        <w:tc>
          <w:tcPr>
            <w:tcW w:type="dxa" w:w="1134"/>
            <w:vAlign w:val="center"/>
            <w:shd w:val="clear" w:color="auto" w:fill="EAF5EE"/>
          </w:tcPr>
          <w:p>
            <w:pPr>
              <w:spacing w:before="60" w:after="60"/>
              <w:jc w:val="center"/>
            </w:pPr>
            <w:r>
              <w:rPr>
                <w:b/>
                <w:color w:val="1A7A4A"/>
                <w:sz w:val="19"/>
              </w:rPr>
              <w:t>✓ 适配</w:t>
            </w:r>
          </w:p>
        </w:tc>
        <w:tc>
          <w:tcPr>
            <w:tcW w:type="dxa" w:w="2948"/>
            <w:vAlign w:val="center"/>
            <w:shd w:val="clear" w:color="auto" w:fill="F5F8FC"/>
          </w:tcPr>
          <w:p>
            <w:pPr>
              <w:spacing w:before="60" w:after="60"/>
              <w:jc w:val="left"/>
            </w:pPr>
            <w:r>
              <w:rPr>
                <w:sz w:val="19"/>
              </w:rPr>
              <w:t>企微推送，工单流转清晰</w:t>
            </w:r>
          </w:p>
        </w:tc>
      </w:tr>
      <w:tr>
        <w:tc>
          <w:tcPr>
            <w:tcW w:type="dxa" w:w="1417"/>
            <w:vAlign w:val="center"/>
            <w:shd w:val="clear" w:color="auto" w:fill="FFFFFF"/>
          </w:tcPr>
          <w:p>
            <w:pPr>
              <w:spacing w:before="60" w:after="60"/>
              <w:jc w:val="center"/>
            </w:pPr>
            <w:r>
              <w:rPr>
                <w:b/>
                <w:color w:val="1A3A6C"/>
                <w:sz w:val="19"/>
              </w:rPr>
              <w:t>客易达</w:t>
            </w:r>
          </w:p>
        </w:tc>
        <w:tc>
          <w:tcPr>
            <w:tcW w:type="dxa" w:w="2268"/>
            <w:vAlign w:val="center"/>
            <w:shd w:val="clear" w:color="auto" w:fill="FFFFFF"/>
          </w:tcPr>
          <w:p>
            <w:pPr>
              <w:spacing w:before="60" w:after="60"/>
              <w:jc w:val="left"/>
            </w:pPr>
            <w:r>
              <w:rPr>
                <w:sz w:val="19"/>
              </w:rPr>
              <w:t>客户池+销售/客服协同</w:t>
            </w:r>
          </w:p>
        </w:tc>
        <w:tc>
          <w:tcPr>
            <w:tcW w:type="dxa" w:w="1587"/>
            <w:vAlign w:val="center"/>
            <w:shd w:val="clear" w:color="auto" w:fill="FFFFFF"/>
          </w:tcPr>
          <w:p>
            <w:pPr>
              <w:spacing w:before="60" w:after="60"/>
              <w:jc w:val="center"/>
            </w:pPr>
            <w:r>
              <w:rPr>
                <w:sz w:val="19"/>
              </w:rPr>
              <w:t>94,500</w:t>
            </w:r>
          </w:p>
        </w:tc>
        <w:tc>
          <w:tcPr>
            <w:tcW w:type="dxa" w:w="1134"/>
            <w:vAlign w:val="center"/>
            <w:shd w:val="clear" w:color="auto" w:fill="EAF5EE"/>
          </w:tcPr>
          <w:p>
            <w:pPr>
              <w:spacing w:before="60" w:after="60"/>
              <w:jc w:val="center"/>
            </w:pPr>
            <w:r>
              <w:rPr>
                <w:b/>
                <w:color w:val="1A7A4A"/>
                <w:sz w:val="19"/>
              </w:rPr>
              <w:t>✓ 适配</w:t>
            </w:r>
          </w:p>
        </w:tc>
        <w:tc>
          <w:tcPr>
            <w:tcW w:type="dxa" w:w="2948"/>
            <w:vAlign w:val="center"/>
            <w:shd w:val="clear" w:color="auto" w:fill="FFFFFF"/>
          </w:tcPr>
          <w:p>
            <w:pPr>
              <w:spacing w:before="60" w:after="60"/>
              <w:jc w:val="left"/>
            </w:pPr>
            <w:r>
              <w:rPr>
                <w:sz w:val="19"/>
              </w:rPr>
              <w:t>提醒方式需确认</w:t>
            </w:r>
          </w:p>
        </w:tc>
      </w:tr>
      <w:tr>
        <w:tc>
          <w:tcPr>
            <w:tcW w:type="dxa" w:w="1417"/>
            <w:vAlign w:val="center"/>
            <w:shd w:val="clear" w:color="auto" w:fill="F5F8FC"/>
          </w:tcPr>
          <w:p>
            <w:pPr>
              <w:spacing w:before="60" w:after="60"/>
              <w:jc w:val="center"/>
            </w:pPr>
            <w:r>
              <w:rPr>
                <w:b/>
                <w:color w:val="1A3A6C"/>
                <w:sz w:val="19"/>
              </w:rPr>
              <w:t>飞岚数据</w:t>
            </w:r>
          </w:p>
        </w:tc>
        <w:tc>
          <w:tcPr>
            <w:tcW w:type="dxa" w:w="2268"/>
            <w:vAlign w:val="center"/>
            <w:shd w:val="clear" w:color="auto" w:fill="F5F8FC"/>
          </w:tcPr>
          <w:p>
            <w:pPr>
              <w:spacing w:before="60" w:after="60"/>
              <w:jc w:val="left"/>
            </w:pPr>
            <w:r>
              <w:rPr>
                <w:sz w:val="19"/>
              </w:rPr>
              <w:t>经营数据看板BI</w:t>
            </w:r>
          </w:p>
        </w:tc>
        <w:tc>
          <w:tcPr>
            <w:tcW w:type="dxa" w:w="1587"/>
            <w:vAlign w:val="center"/>
            <w:shd w:val="clear" w:color="auto" w:fill="F5F8FC"/>
          </w:tcPr>
          <w:p>
            <w:pPr>
              <w:spacing w:before="60" w:after="60"/>
              <w:jc w:val="center"/>
            </w:pPr>
            <w:r>
              <w:rPr>
                <w:sz w:val="19"/>
              </w:rPr>
              <w:t>68,000</w:t>
            </w:r>
          </w:p>
        </w:tc>
        <w:tc>
          <w:tcPr>
            <w:tcW w:type="dxa" w:w="1134"/>
            <w:vAlign w:val="center"/>
            <w:shd w:val="clear" w:color="auto" w:fill="EAF5EE"/>
          </w:tcPr>
          <w:p>
            <w:pPr>
              <w:spacing w:before="60" w:after="60"/>
              <w:jc w:val="center"/>
            </w:pPr>
            <w:r>
              <w:rPr>
                <w:b/>
                <w:color w:val="1A7A4A"/>
                <w:sz w:val="19"/>
              </w:rPr>
              <w:t>✓ 适配</w:t>
            </w:r>
          </w:p>
        </w:tc>
        <w:tc>
          <w:tcPr>
            <w:tcW w:type="dxa" w:w="2948"/>
            <w:vAlign w:val="center"/>
            <w:shd w:val="clear" w:color="auto" w:fill="F5F8FC"/>
          </w:tcPr>
          <w:p>
            <w:pPr>
              <w:spacing w:before="60" w:after="60"/>
              <w:jc w:val="left"/>
            </w:pPr>
            <w:r>
              <w:rPr>
                <w:sz w:val="19"/>
              </w:rPr>
              <w:t>依赖人工按模板上传</w:t>
            </w:r>
          </w:p>
        </w:tc>
      </w:tr>
      <w:tr>
        <w:tc>
          <w:tcPr>
            <w:tcW w:type="dxa" w:w="1417"/>
            <w:vAlign w:val="center"/>
            <w:shd w:val="clear" w:color="auto" w:fill="FFFFFF"/>
          </w:tcPr>
          <w:p>
            <w:pPr>
              <w:spacing w:before="60" w:after="60"/>
              <w:jc w:val="center"/>
            </w:pPr>
            <w:r>
              <w:rPr>
                <w:b/>
                <w:color w:val="1A3A6C"/>
                <w:sz w:val="19"/>
              </w:rPr>
              <w:t>数桥管理咨询</w:t>
            </w:r>
          </w:p>
        </w:tc>
        <w:tc>
          <w:tcPr>
            <w:tcW w:type="dxa" w:w="2268"/>
            <w:vAlign w:val="center"/>
            <w:shd w:val="clear" w:color="auto" w:fill="FFFFFF"/>
          </w:tcPr>
          <w:p>
            <w:pPr>
              <w:spacing w:before="60" w:after="60"/>
              <w:jc w:val="left"/>
            </w:pPr>
            <w:r>
              <w:rPr>
                <w:sz w:val="19"/>
              </w:rPr>
              <w:t>流程诊断+选型建议</w:t>
            </w:r>
          </w:p>
        </w:tc>
        <w:tc>
          <w:tcPr>
            <w:tcW w:type="dxa" w:w="1587"/>
            <w:vAlign w:val="center"/>
            <w:shd w:val="clear" w:color="auto" w:fill="FFFFFF"/>
          </w:tcPr>
          <w:p>
            <w:pPr>
              <w:spacing w:before="60" w:after="60"/>
              <w:jc w:val="center"/>
            </w:pPr>
            <w:r>
              <w:rPr>
                <w:sz w:val="19"/>
              </w:rPr>
              <w:t>58,000</w:t>
            </w:r>
          </w:p>
        </w:tc>
        <w:tc>
          <w:tcPr>
            <w:tcW w:type="dxa" w:w="1134"/>
            <w:vAlign w:val="center"/>
            <w:shd w:val="clear" w:color="auto" w:fill="EAF5EE"/>
          </w:tcPr>
          <w:p>
            <w:pPr>
              <w:spacing w:before="60" w:after="60"/>
              <w:jc w:val="center"/>
            </w:pPr>
            <w:r>
              <w:rPr>
                <w:b/>
                <w:color w:val="1A7A4A"/>
                <w:sz w:val="19"/>
              </w:rPr>
              <w:t>✓ 适配</w:t>
            </w:r>
          </w:p>
        </w:tc>
        <w:tc>
          <w:tcPr>
            <w:tcW w:type="dxa" w:w="2948"/>
            <w:vAlign w:val="center"/>
            <w:shd w:val="clear" w:color="auto" w:fill="FFFFFF"/>
          </w:tcPr>
          <w:p>
            <w:pPr>
              <w:spacing w:before="60" w:after="60"/>
              <w:jc w:val="left"/>
            </w:pPr>
            <w:r>
              <w:rPr>
                <w:sz w:val="19"/>
              </w:rPr>
              <w:t>不交付系统，前期梳理定位</w:t>
            </w:r>
          </w:p>
        </w:tc>
      </w:tr>
      <w:tr>
        <w:tc>
          <w:tcPr>
            <w:tcW w:type="dxa" w:w="1417"/>
            <w:vAlign w:val="center"/>
            <w:shd w:val="clear" w:color="auto" w:fill="F5F8FC"/>
          </w:tcPr>
          <w:p>
            <w:pPr>
              <w:spacing w:before="60" w:after="60"/>
              <w:jc w:val="center"/>
            </w:pPr>
            <w:r>
              <w:rPr>
                <w:b/>
                <w:color w:val="1A3A6C"/>
                <w:sz w:val="19"/>
              </w:rPr>
              <w:t>慧仓科技</w:t>
            </w:r>
          </w:p>
        </w:tc>
        <w:tc>
          <w:tcPr>
            <w:tcW w:type="dxa" w:w="2268"/>
            <w:vAlign w:val="center"/>
            <w:shd w:val="clear" w:color="auto" w:fill="F5F8FC"/>
          </w:tcPr>
          <w:p>
            <w:pPr>
              <w:spacing w:before="60" w:after="60"/>
              <w:jc w:val="left"/>
            </w:pPr>
            <w:r>
              <w:rPr>
                <w:sz w:val="19"/>
              </w:rPr>
              <w:t>轻量进销存/仓储</w:t>
            </w:r>
          </w:p>
        </w:tc>
        <w:tc>
          <w:tcPr>
            <w:tcW w:type="dxa" w:w="1587"/>
            <w:vAlign w:val="center"/>
            <w:shd w:val="clear" w:color="auto" w:fill="F5F8FC"/>
          </w:tcPr>
          <w:p>
            <w:pPr>
              <w:spacing w:before="60" w:after="60"/>
              <w:jc w:val="center"/>
            </w:pPr>
            <w:r>
              <w:rPr>
                <w:sz w:val="19"/>
              </w:rPr>
              <w:t>128,000</w:t>
            </w:r>
          </w:p>
        </w:tc>
        <w:tc>
          <w:tcPr>
            <w:tcW w:type="dxa" w:w="1134"/>
            <w:vAlign w:val="center"/>
            <w:shd w:val="clear" w:color="auto" w:fill="FDF0F0"/>
          </w:tcPr>
          <w:p>
            <w:pPr>
              <w:spacing w:before="60" w:after="60"/>
              <w:jc w:val="center"/>
            </w:pPr>
            <w:r>
              <w:rPr>
                <w:b/>
                <w:color w:val="BF2A2A"/>
                <w:sz w:val="19"/>
              </w:rPr>
              <w:t>✗ 超预算</w:t>
            </w:r>
          </w:p>
        </w:tc>
        <w:tc>
          <w:tcPr>
            <w:tcW w:type="dxa" w:w="2948"/>
            <w:vAlign w:val="center"/>
            <w:shd w:val="clear" w:color="auto" w:fill="F5F8FC"/>
          </w:tcPr>
          <w:p>
            <w:pPr>
              <w:spacing w:before="60" w:after="60"/>
              <w:jc w:val="left"/>
            </w:pPr>
            <w:r>
              <w:rPr>
                <w:sz w:val="19"/>
              </w:rPr>
              <w:t>财务无接口，整体偏高</w:t>
            </w:r>
          </w:p>
        </w:tc>
      </w:tr>
      <w:tr>
        <w:tc>
          <w:tcPr>
            <w:tcW w:type="dxa" w:w="1417"/>
            <w:vAlign w:val="center"/>
            <w:shd w:val="clear" w:color="auto" w:fill="FFFFFF"/>
          </w:tcPr>
          <w:p>
            <w:pPr>
              <w:spacing w:before="60" w:after="60"/>
              <w:jc w:val="center"/>
            </w:pPr>
            <w:r>
              <w:rPr>
                <w:b/>
                <w:color w:val="1A3A6C"/>
                <w:sz w:val="19"/>
              </w:rPr>
              <w:t>明账云</w:t>
            </w:r>
          </w:p>
        </w:tc>
        <w:tc>
          <w:tcPr>
            <w:tcW w:type="dxa" w:w="2268"/>
            <w:vAlign w:val="center"/>
            <w:shd w:val="clear" w:color="auto" w:fill="FFFFFF"/>
          </w:tcPr>
          <w:p>
            <w:pPr>
              <w:spacing w:before="60" w:after="60"/>
              <w:jc w:val="left"/>
            </w:pPr>
            <w:r>
              <w:rPr>
                <w:sz w:val="19"/>
              </w:rPr>
              <w:t>费用报销+预算控制</w:t>
            </w:r>
          </w:p>
        </w:tc>
        <w:tc>
          <w:tcPr>
            <w:tcW w:type="dxa" w:w="1587"/>
            <w:vAlign w:val="center"/>
            <w:shd w:val="clear" w:color="auto" w:fill="FFFFFF"/>
          </w:tcPr>
          <w:p>
            <w:pPr>
              <w:spacing w:before="60" w:after="60"/>
              <w:jc w:val="center"/>
            </w:pPr>
            <w:r>
              <w:rPr>
                <w:sz w:val="19"/>
              </w:rPr>
              <w:t>112,000</w:t>
            </w:r>
          </w:p>
        </w:tc>
        <w:tc>
          <w:tcPr>
            <w:tcW w:type="dxa" w:w="1134"/>
            <w:vAlign w:val="center"/>
            <w:shd w:val="clear" w:color="auto" w:fill="FDF0F0"/>
          </w:tcPr>
          <w:p>
            <w:pPr>
              <w:spacing w:before="60" w:after="60"/>
              <w:jc w:val="center"/>
            </w:pPr>
            <w:r>
              <w:rPr>
                <w:b/>
                <w:color w:val="BF2A2A"/>
                <w:sz w:val="19"/>
              </w:rPr>
              <w:t>✗ 超预算</w:t>
            </w:r>
          </w:p>
        </w:tc>
        <w:tc>
          <w:tcPr>
            <w:tcW w:type="dxa" w:w="2948"/>
            <w:vAlign w:val="center"/>
            <w:shd w:val="clear" w:color="auto" w:fill="FFFFFF"/>
          </w:tcPr>
          <w:p>
            <w:pPr>
              <w:spacing w:before="60" w:after="60"/>
              <w:jc w:val="left"/>
            </w:pPr>
            <w:r>
              <w:rPr>
                <w:sz w:val="19"/>
              </w:rPr>
              <w:t>含年费，续费成本需核算</w:t>
            </w:r>
          </w:p>
        </w:tc>
      </w:tr>
      <w:tr>
        <w:tc>
          <w:tcPr>
            <w:tcW w:type="dxa" w:w="1417"/>
            <w:vAlign w:val="center"/>
            <w:shd w:val="clear" w:color="auto" w:fill="F5F8FC"/>
          </w:tcPr>
          <w:p>
            <w:pPr>
              <w:spacing w:before="60" w:after="60"/>
              <w:jc w:val="center"/>
            </w:pPr>
            <w:r>
              <w:rPr>
                <w:b/>
                <w:color w:val="1A3A6C"/>
                <w:sz w:val="19"/>
              </w:rPr>
              <w:t>云舟协同</w:t>
            </w:r>
          </w:p>
        </w:tc>
        <w:tc>
          <w:tcPr>
            <w:tcW w:type="dxa" w:w="2268"/>
            <w:vAlign w:val="center"/>
            <w:shd w:val="clear" w:color="auto" w:fill="F5F8FC"/>
          </w:tcPr>
          <w:p>
            <w:pPr>
              <w:spacing w:before="60" w:after="60"/>
              <w:jc w:val="left"/>
            </w:pPr>
            <w:r>
              <w:rPr>
                <w:sz w:val="19"/>
              </w:rPr>
              <w:t>一体化OA协同平台</w:t>
            </w:r>
          </w:p>
        </w:tc>
        <w:tc>
          <w:tcPr>
            <w:tcW w:type="dxa" w:w="1587"/>
            <w:vAlign w:val="center"/>
            <w:shd w:val="clear" w:color="auto" w:fill="F5F8FC"/>
          </w:tcPr>
          <w:p>
            <w:pPr>
              <w:spacing w:before="60" w:after="60"/>
              <w:jc w:val="center"/>
            </w:pPr>
            <w:r>
              <w:rPr>
                <w:sz w:val="19"/>
              </w:rPr>
              <w:t>148,000</w:t>
            </w:r>
          </w:p>
        </w:tc>
        <w:tc>
          <w:tcPr>
            <w:tcW w:type="dxa" w:w="1134"/>
            <w:vAlign w:val="center"/>
            <w:shd w:val="clear" w:color="auto" w:fill="FDF0F0"/>
          </w:tcPr>
          <w:p>
            <w:pPr>
              <w:spacing w:before="60" w:after="60"/>
              <w:jc w:val="center"/>
            </w:pPr>
            <w:r>
              <w:rPr>
                <w:b/>
                <w:color w:val="BF2A2A"/>
                <w:sz w:val="19"/>
              </w:rPr>
              <w:t>✗ 超预算</w:t>
            </w:r>
          </w:p>
        </w:tc>
        <w:tc>
          <w:tcPr>
            <w:tcW w:type="dxa" w:w="2948"/>
            <w:vAlign w:val="center"/>
            <w:shd w:val="clear" w:color="auto" w:fill="F5F8FC"/>
          </w:tcPr>
          <w:p>
            <w:pPr>
              <w:spacing w:before="60" w:after="60"/>
              <w:jc w:val="left"/>
            </w:pPr>
            <w:r>
              <w:rPr>
                <w:sz w:val="19"/>
              </w:rPr>
              <w:t>功能全但过重，与本期目标偏差大</w:t>
            </w:r>
          </w:p>
        </w:tc>
      </w:tr>
    </w:tbl>
    <w:p/>
    <w:p>
      <w:pPr>
        <w:spacing w:before="120" w:after="80"/>
        <w:jc w:val="left"/>
      </w:pPr>
      <w:r>
        <w:rPr>
          <w:b/>
          <w:i w:val="0"/>
          <w:color w:val="1A3A6C"/>
          <w:sz w:val="28"/>
        </w:rPr>
        <w:t>三、初筛推荐：前三家供应商</w:t>
      </w:r>
    </w:p>
    <w:p>
      <w:pPr>
        <w:spacing w:before="0" w:after="0"/>
        <w:pBdr>
          <w:bottom w:val="single" w:sz="6" w:space="1" w:color="277DA1"/>
        </w:pBdr>
      </w:pPr>
    </w:p>
    <w:p>
      <w:pPr>
        <w:spacing w:before="120" w:after="200"/>
        <w:jc w:val="left"/>
      </w:pPr>
      <w:r>
        <w:rPr>
          <w:b w:val="0"/>
          <w:i w:val="0"/>
          <w:color w:val="6B7A8D"/>
          <w:sz w:val="22"/>
        </w:rPr>
        <w:t>综合业务覆盖广度、预算适配性及交付可落地性评估，以下三家供应商进入下一轮重点沟通。排名即推荐优先级。</w:t>
      </w:r>
    </w:p>
    <w:p>
      <w:pPr>
        <w:spacing w:before="160" w:after="40"/>
        <w:pBdr>
          <w:left w:val="single" w:sz="24" w:space="8" w:color="1A3A6C"/>
        </w:pBdr>
      </w:pPr>
      <w:r>
        <w:rPr>
          <w:b/>
          <w:i w:val="0"/>
          <w:color w:val="1A3A6C"/>
          <w:sz w:val="22"/>
        </w:rPr>
        <w:t xml:space="preserve">  第一推荐  </w:t>
      </w:r>
      <w:r>
        <w:rPr>
          <w:b/>
          <w:i w:val="0"/>
          <w:color w:val="1A3A6C"/>
          <w:sz w:val="28"/>
        </w:rPr>
        <w:t>【云序数科】</w:t>
      </w:r>
      <w:r>
        <w:rPr>
          <w:b w:val="0"/>
          <w:i w:val="0"/>
          <w:color w:val="6B7A8D"/>
          <w:sz w:val="20"/>
        </w:rPr>
        <w:t xml:space="preserve">  低代码流程线上化 · 采购 / 报销 / 物料领用</w:t>
      </w:r>
    </w:p>
    <w:p>
      <w:pPr>
        <w:spacing w:before="0" w:after="120"/>
      </w:pPr>
      <w:r>
        <w:rPr>
          <w:b/>
          <w:i w:val="0"/>
          <w:color w:val="6B7A8D"/>
          <w:sz w:val="21"/>
        </w:rPr>
        <w:t xml:space="preserve">    报价金额：</w:t>
      </w:r>
      <w:r>
        <w:rPr>
          <w:b/>
          <w:i w:val="0"/>
          <w:color w:val="E88C00"/>
          <w:sz w:val="22"/>
        </w:rPr>
        <w:t>98,600 元（可拆分一期约 6 万，具体需确认）</w:t>
      </w:r>
      <w:r>
        <w:rPr>
          <w:b/>
          <w:i w:val="0"/>
          <w:color w:val="6B7A8D"/>
          <w:sz w:val="21"/>
        </w:rPr>
        <w:t xml:space="preserve">    业务覆盖：</w:t>
      </w:r>
      <w:r>
        <w:rPr>
          <w:b w:val="0"/>
          <w:i w:val="0"/>
          <w:color w:val="1F2D3D"/>
          <w:sz w:val="21"/>
        </w:rPr>
        <w:t>采购申请 · 费用报销 · 物料领用 · 台账查询 · 审批流</w:t>
      </w:r>
    </w:p>
    <w:p>
      <w:pPr>
        <w:spacing w:before="40" w:after="40"/>
        <w:jc w:val="left"/>
      </w:pPr>
      <w:r>
        <w:rPr>
          <w:b/>
          <w:i w:val="0"/>
          <w:color w:val="1A3A6C"/>
          <w:sz w:val="22"/>
        </w:rPr>
        <w:t xml:space="preserve">    推荐理由</w:t>
      </w:r>
    </w:p>
    <w:p>
      <w:pPr>
        <w:pStyle w:val="ListBullet"/>
        <w:spacing w:before="20" w:after="20"/>
        <w:ind w:left="567"/>
      </w:pPr>
      <w:r>
        <w:rPr>
          <w:color w:val="1F2D3D"/>
          <w:sz w:val="21"/>
        </w:rPr>
        <w:t>业务覆盖最全面：同时解决采购、报销、物料领用三条核心流程线上化，触及财务、采购、行政三个部门，综合降本效果最直接。</w:t>
      </w:r>
    </w:p>
    <w:p>
      <w:pPr>
        <w:pStyle w:val="ListBullet"/>
        <w:spacing w:before="20" w:after="20"/>
        <w:ind w:left="567"/>
      </w:pPr>
      <w:r>
        <w:rPr>
          <w:color w:val="1F2D3D"/>
          <w:sz w:val="21"/>
        </w:rPr>
        <w:t>边界认知清晰：沟通中主动建议不做成品库存，理性限定第一期范围，体现较强的实施节奏控制能力，交付风险相对可控。</w:t>
      </w:r>
    </w:p>
    <w:p>
      <w:pPr>
        <w:pStyle w:val="ListBullet"/>
        <w:spacing w:before="20" w:after="20"/>
        <w:ind w:left="567"/>
      </w:pPr>
      <w:r>
        <w:rPr>
          <w:color w:val="1F2D3D"/>
          <w:sz w:val="21"/>
        </w:rPr>
        <w:t>钉钉原生整合：无需迁移现有入口，员工使用门槛低，推广落地阻力小。</w:t>
      </w:r>
    </w:p>
    <w:p>
      <w:pPr>
        <w:pStyle w:val="ListBullet"/>
        <w:spacing w:before="20" w:after="20"/>
        <w:ind w:left="567"/>
      </w:pPr>
      <w:r>
        <w:rPr>
          <w:color w:val="1F2D3D"/>
          <w:sz w:val="21"/>
        </w:rPr>
        <w:t>报价具有分期弹性：对方明确可拆分"采购+报销"一期版本，可有效压缩首期预算，为后续迭代留有余地。</w:t>
      </w:r>
    </w:p>
    <w:p>
      <w:pPr>
        <w:spacing w:before="80" w:after="40"/>
        <w:jc w:val="left"/>
      </w:pPr>
      <w:r>
        <w:rPr>
          <w:b/>
          <w:i w:val="0"/>
          <w:color w:val="D06A00"/>
          <w:sz w:val="22"/>
        </w:rPr>
        <w:t xml:space="preserve">    注意风险</w:t>
      </w:r>
    </w:p>
    <w:p>
      <w:pPr>
        <w:pStyle w:val="ListBullet"/>
        <w:spacing w:before="20" w:after="20"/>
        <w:ind w:left="567"/>
      </w:pPr>
      <w:r>
        <w:rPr>
          <w:color w:val="D06A00"/>
          <w:sz w:val="21"/>
        </w:rPr>
        <w:t>完整版报价（98,600元）已逼近预算上限，需进一步要求对方出具一期拆分价。</w:t>
      </w:r>
    </w:p>
    <w:p>
      <w:pPr>
        <w:pStyle w:val="ListBullet"/>
        <w:spacing w:before="20" w:after="20"/>
        <w:ind w:left="567"/>
      </w:pPr>
      <w:r>
        <w:rPr>
          <w:color w:val="D06A00"/>
          <w:sz w:val="21"/>
        </w:rPr>
        <w:t>上线前提是甲方内部先整理三张表的字段，内部配合度将直接影响进度。</w:t>
      </w:r>
    </w:p>
    <w:p/>
    <w:p>
      <w:pPr>
        <w:spacing w:before="160" w:after="40"/>
        <w:pBdr>
          <w:left w:val="single" w:sz="24" w:space="8" w:color="277DA1"/>
        </w:pBdr>
      </w:pPr>
      <w:r>
        <w:rPr>
          <w:b/>
          <w:i w:val="0"/>
          <w:color w:val="277DA1"/>
          <w:sz w:val="22"/>
        </w:rPr>
        <w:t xml:space="preserve">  第二推荐  </w:t>
      </w:r>
      <w:r>
        <w:rPr>
          <w:b/>
          <w:i w:val="0"/>
          <w:color w:val="1A3A6C"/>
          <w:sz w:val="28"/>
        </w:rPr>
        <w:t>【织流自动化】</w:t>
      </w:r>
      <w:r>
        <w:rPr>
          <w:b w:val="0"/>
          <w:i w:val="0"/>
          <w:color w:val="6B7A8D"/>
          <w:sz w:val="20"/>
        </w:rPr>
        <w:t xml:space="preserve">  RPA 财务自动化 · 银行流水 / 发票 / 报销附件</w:t>
      </w:r>
    </w:p>
    <w:p>
      <w:pPr>
        <w:spacing w:before="0" w:after="120"/>
      </w:pPr>
      <w:r>
        <w:rPr>
          <w:b/>
          <w:i w:val="0"/>
          <w:color w:val="6B7A8D"/>
          <w:sz w:val="21"/>
        </w:rPr>
        <w:t xml:space="preserve">    报价金额：</w:t>
      </w:r>
      <w:r>
        <w:rPr>
          <w:b/>
          <w:i w:val="0"/>
          <w:color w:val="E88C00"/>
          <w:sz w:val="22"/>
        </w:rPr>
        <w:t>86,000 元（在预算范围内）</w:t>
      </w:r>
      <w:r>
        <w:rPr>
          <w:b/>
          <w:i w:val="0"/>
          <w:color w:val="6B7A8D"/>
          <w:sz w:val="21"/>
        </w:rPr>
        <w:t xml:space="preserve">    业务覆盖：</w:t>
      </w:r>
      <w:r>
        <w:rPr>
          <w:b w:val="0"/>
          <w:i w:val="0"/>
          <w:color w:val="1F2D3D"/>
          <w:sz w:val="21"/>
        </w:rPr>
        <w:t>银行流水自动下载 · 发票清单合并校验 · 报销附件初筛</w:t>
      </w:r>
    </w:p>
    <w:p>
      <w:pPr>
        <w:spacing w:before="40" w:after="40"/>
        <w:jc w:val="left"/>
      </w:pPr>
      <w:r>
        <w:rPr>
          <w:b/>
          <w:i w:val="0"/>
          <w:color w:val="1A3A6C"/>
          <w:sz w:val="22"/>
        </w:rPr>
        <w:t xml:space="preserve">    推荐理由</w:t>
      </w:r>
    </w:p>
    <w:p>
      <w:pPr>
        <w:pStyle w:val="ListBullet"/>
        <w:spacing w:before="20" w:after="20"/>
        <w:ind w:left="567"/>
      </w:pPr>
      <w:r>
        <w:rPr>
          <w:color w:val="1F2D3D"/>
          <w:sz w:val="21"/>
        </w:rPr>
        <w:t>精准解决财务高频痛点：银行流水、发票清单、报销附件是当前最耗时的重复劳动，该方向产出立竿见影，领导层可见度高。</w:t>
      </w:r>
    </w:p>
    <w:p>
      <w:pPr>
        <w:pStyle w:val="ListBullet"/>
        <w:spacing w:before="20" w:after="20"/>
        <w:ind w:left="567"/>
      </w:pPr>
      <w:r>
        <w:rPr>
          <w:color w:val="1F2D3D"/>
          <w:sz w:val="21"/>
        </w:rPr>
        <w:t>交付逻辑成熟：对方未过度承诺，明确说明验证码环节需人工干预，OCR 识别率限制也提前披露，表现出较高的专业诚信度。</w:t>
      </w:r>
    </w:p>
    <w:p>
      <w:pPr>
        <w:pStyle w:val="ListBullet"/>
        <w:spacing w:before="20" w:after="20"/>
        <w:ind w:left="567"/>
      </w:pPr>
      <w:r>
        <w:rPr>
          <w:color w:val="1F2D3D"/>
          <w:sz w:val="21"/>
        </w:rPr>
        <w:t>不依赖现有系统改造：以脚本层运行，不需要对采购或财务系统做二次开发，实施风险低、上线快。</w:t>
      </w:r>
    </w:p>
    <w:p>
      <w:pPr>
        <w:pStyle w:val="ListBullet"/>
        <w:spacing w:before="20" w:after="20"/>
        <w:ind w:left="567"/>
      </w:pPr>
      <w:r>
        <w:rPr>
          <w:color w:val="1F2D3D"/>
          <w:sz w:val="21"/>
        </w:rPr>
        <w:t>运行日志透明：每步操作均可追溯，便于后期自主维护和排错。</w:t>
      </w:r>
    </w:p>
    <w:p>
      <w:pPr>
        <w:spacing w:before="80" w:after="40"/>
        <w:jc w:val="left"/>
      </w:pPr>
      <w:r>
        <w:rPr>
          <w:b/>
          <w:i w:val="0"/>
          <w:color w:val="D06A00"/>
          <w:sz w:val="22"/>
        </w:rPr>
        <w:t xml:space="preserve">    注意风险</w:t>
      </w:r>
    </w:p>
    <w:p>
      <w:pPr>
        <w:pStyle w:val="ListBullet"/>
        <w:spacing w:before="20" w:after="20"/>
        <w:ind w:left="567"/>
      </w:pPr>
      <w:r>
        <w:rPr>
          <w:color w:val="D06A00"/>
          <w:sz w:val="21"/>
        </w:rPr>
        <w:t>部分银行/税务平台存在 U Key 或人脸验证，需提前逐一核实，否则"全自动"承诺落空。</w:t>
      </w:r>
    </w:p>
    <w:p>
      <w:pPr>
        <w:pStyle w:val="ListBullet"/>
        <w:spacing w:before="20" w:after="20"/>
        <w:ind w:left="567"/>
      </w:pPr>
      <w:r>
        <w:rPr>
          <w:color w:val="D06A00"/>
          <w:sz w:val="21"/>
        </w:rPr>
        <w:t>OCR 准确率受票据图片质量影响，不可作为唯一验收标准，需设置人工复核机制。</w:t>
      </w:r>
    </w:p>
    <w:p/>
    <w:p>
      <w:pPr>
        <w:spacing w:before="160" w:after="40"/>
        <w:pBdr>
          <w:left w:val="single" w:sz="24" w:space="8" w:color="E88C00"/>
        </w:pBdr>
      </w:pPr>
      <w:r>
        <w:rPr>
          <w:b/>
          <w:i w:val="0"/>
          <w:color w:val="E88C00"/>
          <w:sz w:val="22"/>
        </w:rPr>
        <w:t xml:space="preserve">  第三推荐  </w:t>
      </w:r>
      <w:r>
        <w:rPr>
          <w:b/>
          <w:i w:val="0"/>
          <w:color w:val="1A3A6C"/>
          <w:sz w:val="28"/>
        </w:rPr>
        <w:t>【企答智能】</w:t>
      </w:r>
      <w:r>
        <w:rPr>
          <w:b w:val="0"/>
          <w:i w:val="0"/>
          <w:color w:val="6B7A8D"/>
          <w:sz w:val="20"/>
        </w:rPr>
        <w:t xml:space="preserve">  AI 客服知识库 · 客服辅助 / 反馈沉淀</w:t>
      </w:r>
    </w:p>
    <w:p>
      <w:pPr>
        <w:spacing w:before="0" w:after="120"/>
      </w:pPr>
      <w:r>
        <w:rPr>
          <w:b/>
          <w:i w:val="0"/>
          <w:color w:val="6B7A8D"/>
          <w:sz w:val="21"/>
        </w:rPr>
        <w:t xml:space="preserve">    报价金额：</w:t>
      </w:r>
      <w:r>
        <w:rPr>
          <w:b/>
          <w:i w:val="0"/>
          <w:color w:val="E88C00"/>
          <w:sz w:val="22"/>
        </w:rPr>
        <w:t>76,800 元（预算内，相对宽裕）</w:t>
      </w:r>
      <w:r>
        <w:rPr>
          <w:b/>
          <w:i w:val="0"/>
          <w:color w:val="6B7A8D"/>
          <w:sz w:val="21"/>
        </w:rPr>
        <w:t xml:space="preserve">    业务覆盖：</w:t>
      </w:r>
      <w:r>
        <w:rPr>
          <w:b w:val="0"/>
          <w:i w:val="0"/>
          <w:color w:val="1F2D3D"/>
          <w:sz w:val="21"/>
        </w:rPr>
        <w:t>客服内部知识库 · AI 问答辅助 · 反馈标签 · 周报分析</w:t>
      </w:r>
    </w:p>
    <w:p>
      <w:pPr>
        <w:spacing w:before="40" w:after="40"/>
        <w:jc w:val="left"/>
      </w:pPr>
      <w:r>
        <w:rPr>
          <w:b/>
          <w:i w:val="0"/>
          <w:color w:val="1A3A6C"/>
          <w:sz w:val="22"/>
        </w:rPr>
        <w:t xml:space="preserve">    推荐理由</w:t>
      </w:r>
    </w:p>
    <w:p>
      <w:pPr>
        <w:pStyle w:val="ListBullet"/>
        <w:spacing w:before="20" w:after="20"/>
        <w:ind w:left="567"/>
      </w:pPr>
      <w:r>
        <w:rPr>
          <w:color w:val="1F2D3D"/>
          <w:sz w:val="21"/>
        </w:rPr>
        <w:t>客服降本效果明确：高峰期日均 80-120 条问询，标准问题占比高，知识库落地后客服响应效率可显著提升。</w:t>
      </w:r>
    </w:p>
    <w:p>
      <w:pPr>
        <w:pStyle w:val="ListBullet"/>
        <w:spacing w:before="20" w:after="20"/>
        <w:ind w:left="567"/>
      </w:pPr>
      <w:r>
        <w:rPr>
          <w:color w:val="1F2D3D"/>
          <w:sz w:val="21"/>
        </w:rPr>
        <w:t>反馈沉淀价值高：客户反馈自动标签与周报机制，让产品和运营团队首次获得结构化的客户声音，为后续改进提供数据依据。</w:t>
      </w:r>
    </w:p>
    <w:p>
      <w:pPr>
        <w:pStyle w:val="ListBullet"/>
        <w:spacing w:before="20" w:after="20"/>
        <w:ind w:left="567"/>
      </w:pPr>
      <w:r>
        <w:rPr>
          <w:color w:val="1F2D3D"/>
          <w:sz w:val="21"/>
        </w:rPr>
        <w:t>报价最为合理：在三家中价格最低，且已含 4 周调优服务，性价比突出。</w:t>
      </w:r>
    </w:p>
    <w:p>
      <w:pPr>
        <w:pStyle w:val="ListBullet"/>
        <w:spacing w:before="20" w:after="20"/>
        <w:ind w:left="567"/>
      </w:pPr>
      <w:r>
        <w:rPr>
          <w:color w:val="1F2D3D"/>
          <w:sz w:val="21"/>
        </w:rPr>
        <w:t>"不直接对客户开放"的第一期策略务实可行，有效规避 AI 误答引发售后纠纷的风险。</w:t>
      </w:r>
    </w:p>
    <w:p>
      <w:pPr>
        <w:spacing w:before="80" w:after="40"/>
        <w:jc w:val="left"/>
      </w:pPr>
      <w:r>
        <w:rPr>
          <w:b/>
          <w:i w:val="0"/>
          <w:color w:val="D06A00"/>
          <w:sz w:val="22"/>
        </w:rPr>
        <w:t xml:space="preserve">    注意风险</w:t>
      </w:r>
    </w:p>
    <w:p>
      <w:pPr>
        <w:pStyle w:val="ListBullet"/>
        <w:spacing w:before="20" w:after="20"/>
        <w:ind w:left="567"/>
      </w:pPr>
      <w:r>
        <w:rPr>
          <w:color w:val="D06A00"/>
          <w:sz w:val="21"/>
        </w:rPr>
        <w:t>知识库质量是成败关键：需甲方提前整理 FAQ、售后政策、历史问答约 300 条，准备工作量不低。</w:t>
      </w:r>
    </w:p>
    <w:p>
      <w:pPr>
        <w:pStyle w:val="ListBullet"/>
        <w:spacing w:before="20" w:after="20"/>
        <w:ind w:left="567"/>
      </w:pPr>
      <w:r>
        <w:rPr>
          <w:color w:val="D06A00"/>
          <w:sz w:val="21"/>
        </w:rPr>
        <w:t>企微渠道接入未含在标准报价内，若需要统一入口需另行确认费用。</w:t>
      </w:r>
    </w:p>
    <w:p/>
    <w:p>
      <w:pPr>
        <w:spacing w:before="120" w:after="80"/>
        <w:jc w:val="left"/>
      </w:pPr>
      <w:r>
        <w:rPr>
          <w:b/>
          <w:i w:val="0"/>
          <w:color w:val="1A3A6C"/>
          <w:sz w:val="28"/>
        </w:rPr>
        <w:t>四、其余供应商未入选说明</w:t>
      </w:r>
    </w:p>
    <w:p>
      <w:pPr>
        <w:spacing w:before="0" w:after="0"/>
        <w:pBdr>
          <w:bottom w:val="single" w:sz="6" w:space="1" w:color="277DA1"/>
        </w:pBdr>
      </w:pP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C6D5E8"/>
          <w:left w:val="single" w:sz="4" w:space="0" w:color="C6D5E8"/>
          <w:bottom w:val="single" w:sz="4" w:space="0" w:color="C6D5E8"/>
          <w:right w:val="single" w:sz="4" w:space="0" w:color="C6D5E8"/>
          <w:insideH w:val="single" w:sz="4" w:space="0" w:color="C6D5E8"/>
          <w:insideV w:val="single" w:sz="4" w:space="0" w:color="C6D5E8"/>
        </w:tblBorders>
      </w:tblPr>
      <w:tblGrid>
        <w:gridCol w:w="2911"/>
        <w:gridCol w:w="2911"/>
        <w:gridCol w:w="2911"/>
      </w:tblGrid>
      <w:tr>
        <w:tc>
          <w:tcPr>
            <w:tcW w:type="dxa" w:w="1417"/>
            <w:vAlign w:val="center"/>
            <w:shd w:val="clear" w:color="auto" w:fill="1A3A6C"/>
          </w:tcPr>
          <w:p>
            <w:pPr>
              <w:spacing w:before="60" w:after="60"/>
              <w:jc w:val="center"/>
            </w:pPr>
            <w:r>
              <w:rPr>
                <w:b/>
                <w:color w:val="FFFFFF"/>
                <w:sz w:val="20"/>
              </w:rPr>
              <w:t>供应商</w:t>
            </w:r>
          </w:p>
        </w:tc>
        <w:tc>
          <w:tcPr>
            <w:tcW w:type="dxa" w:w="2154"/>
            <w:vAlign w:val="center"/>
            <w:shd w:val="clear" w:color="auto" w:fill="1A3A6C"/>
          </w:tcPr>
          <w:p>
            <w:pPr>
              <w:spacing w:before="60" w:after="60"/>
              <w:jc w:val="center"/>
            </w:pPr>
            <w:r>
              <w:rPr>
                <w:b/>
                <w:color w:val="FFFFFF"/>
                <w:sz w:val="20"/>
              </w:rPr>
              <w:t>方向与报价</w:t>
            </w:r>
          </w:p>
        </w:tc>
        <w:tc>
          <w:tcPr>
            <w:tcW w:type="dxa" w:w="5783"/>
            <w:vAlign w:val="center"/>
            <w:shd w:val="clear" w:color="auto" w:fill="1A3A6C"/>
          </w:tcPr>
          <w:p>
            <w:pPr>
              <w:spacing w:before="60" w:after="60"/>
              <w:jc w:val="center"/>
            </w:pPr>
            <w:r>
              <w:rPr>
                <w:b/>
                <w:color w:val="FFFFFF"/>
                <w:sz w:val="20"/>
              </w:rPr>
              <w:t>未入选原因</w:t>
            </w:r>
          </w:p>
        </w:tc>
      </w:tr>
      <w:tr>
        <w:tc>
          <w:tcPr>
            <w:tcW w:type="dxa" w:w="1417"/>
            <w:vAlign w:val="center"/>
            <w:shd w:val="clear" w:color="auto" w:fill="F5F8FC"/>
          </w:tcPr>
          <w:p>
            <w:pPr>
              <w:spacing w:before="60" w:after="60"/>
              <w:jc w:val="left"/>
            </w:pPr>
            <w:r>
              <w:rPr>
                <w:b/>
                <w:color w:val="1A3A6C"/>
                <w:sz w:val="19"/>
              </w:rPr>
              <w:t>聚优客服云</w:t>
            </w:r>
          </w:p>
        </w:tc>
        <w:tc>
          <w:tcPr>
            <w:tcW w:type="dxa" w:w="2154"/>
            <w:vAlign w:val="center"/>
            <w:shd w:val="clear" w:color="auto" w:fill="F5F8FC"/>
          </w:tcPr>
          <w:p>
            <w:pPr>
              <w:spacing w:before="60" w:after="60"/>
              <w:jc w:val="left"/>
            </w:pPr>
            <w:r>
              <w:rPr>
                <w:color w:val="1F2D3D"/>
                <w:sz w:val="19"/>
              </w:rPr>
              <w:t>客服工单+反馈闭环（83,600元）</w:t>
            </w:r>
          </w:p>
        </w:tc>
        <w:tc>
          <w:tcPr>
            <w:tcW w:type="dxa" w:w="5783"/>
            <w:vAlign w:val="center"/>
            <w:shd w:val="clear" w:color="auto" w:fill="F5F8FC"/>
          </w:tcPr>
          <w:p>
            <w:pPr>
              <w:spacing w:before="60" w:after="60"/>
              <w:jc w:val="left"/>
            </w:pPr>
            <w:r>
              <w:rPr>
                <w:color w:val="1F2D3D"/>
                <w:sz w:val="19"/>
              </w:rPr>
              <w:t>定位与企答智能高度重叠，且属于工单流程工具，缺少 AI 辅助答复能力，在客服降本的直接效果上弱于企答智能。可作为企答智能上线后"反馈闭环结构化"的补充候选，待二期评估。</w:t>
            </w:r>
          </w:p>
        </w:tc>
      </w:tr>
      <w:tr>
        <w:tc>
          <w:tcPr>
            <w:tcW w:type="dxa" w:w="1417"/>
            <w:vAlign w:val="center"/>
            <w:shd w:val="clear" w:color="auto" w:fill="FFFFFF"/>
          </w:tcPr>
          <w:p>
            <w:pPr>
              <w:spacing w:before="60" w:after="60"/>
              <w:jc w:val="left"/>
            </w:pPr>
            <w:r>
              <w:rPr>
                <w:b/>
                <w:color w:val="1A3A6C"/>
                <w:sz w:val="19"/>
              </w:rPr>
              <w:t>客易达</w:t>
            </w:r>
          </w:p>
        </w:tc>
        <w:tc>
          <w:tcPr>
            <w:tcW w:type="dxa" w:w="2154"/>
            <w:vAlign w:val="center"/>
            <w:shd w:val="clear" w:color="auto" w:fill="FFFFFF"/>
          </w:tcPr>
          <w:p>
            <w:pPr>
              <w:spacing w:before="60" w:after="60"/>
              <w:jc w:val="left"/>
            </w:pPr>
            <w:r>
              <w:rPr>
                <w:color w:val="1F2D3D"/>
                <w:sz w:val="19"/>
              </w:rPr>
              <w:t>客户池+销售跟进（94,500元）</w:t>
            </w:r>
          </w:p>
        </w:tc>
        <w:tc>
          <w:tcPr>
            <w:tcW w:type="dxa" w:w="5783"/>
            <w:vAlign w:val="center"/>
            <w:shd w:val="clear" w:color="auto" w:fill="FFFFFF"/>
          </w:tcPr>
          <w:p>
            <w:pPr>
              <w:spacing w:before="60" w:after="60"/>
              <w:jc w:val="left"/>
            </w:pPr>
            <w:r>
              <w:rPr>
                <w:color w:val="1F2D3D"/>
                <w:sz w:val="19"/>
              </w:rPr>
              <w:t>解决的是销售线索管理痛点，方向有价值，但企微提醒依赖额外接口、实际使用率存疑，且当前更紧迫的是内部流程与财务降本，销售 CRM 建议列入二期。</w:t>
            </w:r>
          </w:p>
        </w:tc>
      </w:tr>
      <w:tr>
        <w:tc>
          <w:tcPr>
            <w:tcW w:type="dxa" w:w="1417"/>
            <w:vAlign w:val="center"/>
            <w:shd w:val="clear" w:color="auto" w:fill="F5F8FC"/>
          </w:tcPr>
          <w:p>
            <w:pPr>
              <w:spacing w:before="60" w:after="60"/>
              <w:jc w:val="left"/>
            </w:pPr>
            <w:r>
              <w:rPr>
                <w:b/>
                <w:color w:val="1A3A6C"/>
                <w:sz w:val="19"/>
              </w:rPr>
              <w:t>飞岚数据</w:t>
            </w:r>
          </w:p>
        </w:tc>
        <w:tc>
          <w:tcPr>
            <w:tcW w:type="dxa" w:w="2154"/>
            <w:vAlign w:val="center"/>
            <w:shd w:val="clear" w:color="auto" w:fill="F5F8FC"/>
          </w:tcPr>
          <w:p>
            <w:pPr>
              <w:spacing w:before="60" w:after="60"/>
              <w:jc w:val="left"/>
            </w:pPr>
            <w:r>
              <w:rPr>
                <w:color w:val="1F2D3D"/>
                <w:sz w:val="19"/>
              </w:rPr>
              <w:t>经营数据看板 BI（68,000元）</w:t>
            </w:r>
          </w:p>
        </w:tc>
        <w:tc>
          <w:tcPr>
            <w:tcW w:type="dxa" w:w="5783"/>
            <w:vAlign w:val="center"/>
            <w:shd w:val="clear" w:color="auto" w:fill="F5F8FC"/>
          </w:tcPr>
          <w:p>
            <w:pPr>
              <w:spacing w:before="60" w:after="60"/>
              <w:jc w:val="left"/>
            </w:pPr>
            <w:r>
              <w:rPr>
                <w:color w:val="1F2D3D"/>
                <w:sz w:val="19"/>
              </w:rPr>
              <w:t>报价合理，但仍依赖人工按固定模板上传数据，在上游流程（采购、财务、销售）未线上化之前，数据看板意义有限。建议等云序数科或织流落地后再推进。</w:t>
            </w:r>
          </w:p>
        </w:tc>
      </w:tr>
      <w:tr>
        <w:tc>
          <w:tcPr>
            <w:tcW w:type="dxa" w:w="1417"/>
            <w:vAlign w:val="center"/>
            <w:shd w:val="clear" w:color="auto" w:fill="FFFFFF"/>
          </w:tcPr>
          <w:p>
            <w:pPr>
              <w:spacing w:before="60" w:after="60"/>
              <w:jc w:val="left"/>
            </w:pPr>
            <w:r>
              <w:rPr>
                <w:b/>
                <w:color w:val="1A3A6C"/>
                <w:sz w:val="19"/>
              </w:rPr>
              <w:t>数桥管理咨询</w:t>
            </w:r>
          </w:p>
        </w:tc>
        <w:tc>
          <w:tcPr>
            <w:tcW w:type="dxa" w:w="2154"/>
            <w:vAlign w:val="center"/>
            <w:shd w:val="clear" w:color="auto" w:fill="FFFFFF"/>
          </w:tcPr>
          <w:p>
            <w:pPr>
              <w:spacing w:before="60" w:after="60"/>
              <w:jc w:val="left"/>
            </w:pPr>
            <w:r>
              <w:rPr>
                <w:color w:val="1F2D3D"/>
                <w:sz w:val="19"/>
              </w:rPr>
              <w:t>流程诊断顾问（58,000元）</w:t>
            </w:r>
          </w:p>
        </w:tc>
        <w:tc>
          <w:tcPr>
            <w:tcW w:type="dxa" w:w="5783"/>
            <w:vAlign w:val="center"/>
            <w:shd w:val="clear" w:color="auto" w:fill="FFFFFF"/>
          </w:tcPr>
          <w:p>
            <w:pPr>
              <w:spacing w:before="60" w:after="60"/>
              <w:jc w:val="left"/>
            </w:pPr>
            <w:r>
              <w:rPr>
                <w:color w:val="1F2D3D"/>
                <w:sz w:val="19"/>
              </w:rPr>
              <w:t>定位是前期需求梳理而非系统交付，短期内无法看到工具上线效果。当前团队已有明确痛点方向，可直接进入供应商选型阶段，无需额外付费诊断。</w:t>
            </w:r>
          </w:p>
        </w:tc>
      </w:tr>
      <w:tr>
        <w:tc>
          <w:tcPr>
            <w:tcW w:type="dxa" w:w="1417"/>
            <w:vAlign w:val="center"/>
            <w:shd w:val="clear" w:color="auto" w:fill="F5F8FC"/>
          </w:tcPr>
          <w:p>
            <w:pPr>
              <w:spacing w:before="60" w:after="60"/>
              <w:jc w:val="left"/>
            </w:pPr>
            <w:r>
              <w:rPr>
                <w:b/>
                <w:color w:val="1A3A6C"/>
                <w:sz w:val="19"/>
              </w:rPr>
              <w:t>慧仓科技</w:t>
            </w:r>
          </w:p>
        </w:tc>
        <w:tc>
          <w:tcPr>
            <w:tcW w:type="dxa" w:w="2154"/>
            <w:vAlign w:val="center"/>
            <w:shd w:val="clear" w:color="auto" w:fill="F5F8FC"/>
          </w:tcPr>
          <w:p>
            <w:pPr>
              <w:spacing w:before="60" w:after="60"/>
              <w:jc w:val="left"/>
            </w:pPr>
            <w:r>
              <w:rPr>
                <w:color w:val="1F2D3D"/>
                <w:sz w:val="19"/>
              </w:rPr>
              <w:t>轻量进销存/仓储（128,000元）</w:t>
            </w:r>
          </w:p>
        </w:tc>
        <w:tc>
          <w:tcPr>
            <w:tcW w:type="dxa" w:w="5783"/>
            <w:vAlign w:val="center"/>
            <w:shd w:val="clear" w:color="auto" w:fill="F5F8FC"/>
          </w:tcPr>
          <w:p>
            <w:pPr>
              <w:spacing w:before="60" w:after="60"/>
              <w:jc w:val="left"/>
            </w:pPr>
            <w:r>
              <w:rPr>
                <w:color w:val="1F2D3D"/>
                <w:sz w:val="19"/>
              </w:rPr>
              <w:t>报价超出预算28%，且无现成财务接口，闭环不完整。建议要求其出具只含高频物料试点的压缩版后再评估。</w:t>
            </w:r>
          </w:p>
        </w:tc>
      </w:tr>
      <w:tr>
        <w:tc>
          <w:tcPr>
            <w:tcW w:type="dxa" w:w="1417"/>
            <w:vAlign w:val="center"/>
            <w:shd w:val="clear" w:color="auto" w:fill="FFFFFF"/>
          </w:tcPr>
          <w:p>
            <w:pPr>
              <w:spacing w:before="60" w:after="60"/>
              <w:jc w:val="left"/>
            </w:pPr>
            <w:r>
              <w:rPr>
                <w:b/>
                <w:color w:val="1A3A6C"/>
                <w:sz w:val="19"/>
              </w:rPr>
              <w:t>明账云</w:t>
            </w:r>
          </w:p>
        </w:tc>
        <w:tc>
          <w:tcPr>
            <w:tcW w:type="dxa" w:w="2154"/>
            <w:vAlign w:val="center"/>
            <w:shd w:val="clear" w:color="auto" w:fill="FFFFFF"/>
          </w:tcPr>
          <w:p>
            <w:pPr>
              <w:spacing w:before="60" w:after="60"/>
              <w:jc w:val="left"/>
            </w:pPr>
            <w:r>
              <w:rPr>
                <w:color w:val="1F2D3D"/>
                <w:sz w:val="19"/>
              </w:rPr>
              <w:t>费用报销+预算控制（112,000元）</w:t>
            </w:r>
          </w:p>
        </w:tc>
        <w:tc>
          <w:tcPr>
            <w:tcW w:type="dxa" w:w="5783"/>
            <w:vAlign w:val="center"/>
            <w:shd w:val="clear" w:color="auto" w:fill="FFFFFF"/>
          </w:tcPr>
          <w:p>
            <w:pPr>
              <w:spacing w:before="60" w:after="60"/>
              <w:jc w:val="left"/>
            </w:pPr>
            <w:r>
              <w:rPr>
                <w:color w:val="1F2D3D"/>
                <w:sz w:val="19"/>
              </w:rPr>
              <w:t>报价超出预算，且第二年续费（超30人按120元/人/年）会推高总持有成本。核心需求已被云序数科的报销模块覆盖，重复投入必要性不高。</w:t>
            </w:r>
          </w:p>
        </w:tc>
      </w:tr>
      <w:tr>
        <w:tc>
          <w:tcPr>
            <w:tcW w:type="dxa" w:w="1417"/>
            <w:vAlign w:val="center"/>
            <w:shd w:val="clear" w:color="auto" w:fill="F5F8FC"/>
          </w:tcPr>
          <w:p>
            <w:pPr>
              <w:spacing w:before="60" w:after="60"/>
              <w:jc w:val="left"/>
            </w:pPr>
            <w:r>
              <w:rPr>
                <w:b/>
                <w:color w:val="1A3A6C"/>
                <w:sz w:val="19"/>
              </w:rPr>
              <w:t>云舟协同</w:t>
            </w:r>
          </w:p>
        </w:tc>
        <w:tc>
          <w:tcPr>
            <w:tcW w:type="dxa" w:w="2154"/>
            <w:vAlign w:val="center"/>
            <w:shd w:val="clear" w:color="auto" w:fill="F5F8FC"/>
          </w:tcPr>
          <w:p>
            <w:pPr>
              <w:spacing w:before="60" w:after="60"/>
              <w:jc w:val="left"/>
            </w:pPr>
            <w:r>
              <w:rPr>
                <w:color w:val="1F2D3D"/>
                <w:sz w:val="19"/>
              </w:rPr>
              <w:t>一体化 OA 协同平台（148,000元）</w:t>
            </w:r>
          </w:p>
        </w:tc>
        <w:tc>
          <w:tcPr>
            <w:tcW w:type="dxa" w:w="5783"/>
            <w:vAlign w:val="center"/>
            <w:shd w:val="clear" w:color="auto" w:fill="F5F8FC"/>
          </w:tcPr>
          <w:p>
            <w:pPr>
              <w:spacing w:before="60" w:after="60"/>
              <w:jc w:val="left"/>
            </w:pPr>
            <w:r>
              <w:rPr>
                <w:color w:val="1F2D3D"/>
                <w:sz w:val="19"/>
              </w:rPr>
              <w:t>定位过重，适合中长期协同建设，当前阶段追求快速降本试点，与本期目标偏差明显，报价也大幅超出预算。</w:t>
            </w:r>
          </w:p>
        </w:tc>
      </w:tr>
    </w:tbl>
    <w:p/>
    <w:p>
      <w:pPr>
        <w:spacing w:before="120" w:after="80"/>
        <w:jc w:val="left"/>
      </w:pPr>
      <w:r>
        <w:rPr>
          <w:b/>
          <w:i w:val="0"/>
          <w:color w:val="1A3A6C"/>
          <w:sz w:val="28"/>
        </w:rPr>
        <w:t>五、下一轮业务沟通关键确认事项</w:t>
      </w:r>
    </w:p>
    <w:p>
      <w:pPr>
        <w:spacing w:before="0" w:after="0"/>
        <w:pBdr>
          <w:bottom w:val="single" w:sz="6" w:space="1" w:color="277DA1"/>
        </w:pBdr>
      </w:pPr>
    </w:p>
    <w:p>
      <w:pPr>
        <w:spacing w:before="120" w:after="160"/>
        <w:jc w:val="left"/>
      </w:pPr>
      <w:r>
        <w:rPr>
          <w:b w:val="0"/>
          <w:i w:val="0"/>
          <w:color w:val="6B7A8D"/>
          <w:sz w:val="22"/>
        </w:rPr>
        <w:t>以下为三家入围供应商在进入正式合同谈判前，必须逐一书面确认的事项。建议在下轮沟通中主动提出并要求留存记录。</w:t>
      </w:r>
    </w:p>
    <w:p>
      <w:pPr>
        <w:spacing w:before="200" w:after="80"/>
        <w:pBdr>
          <w:left w:val="single" w:sz="16" w:space="6" w:color="277DA1"/>
        </w:pBdr>
      </w:pPr>
      <w:r>
        <w:rPr>
          <w:b/>
          <w:i w:val="0"/>
          <w:color w:val="1A3A6C"/>
          <w:sz w:val="24"/>
        </w:rPr>
        <w:t xml:space="preserve">  云序数科</w:t>
      </w:r>
      <w:r>
        <w:rPr>
          <w:b w:val="0"/>
          <w:i w:val="0"/>
          <w:color w:val="6B7A8D"/>
          <w:sz w:val="20"/>
        </w:rPr>
        <w:t xml:space="preserve">  / 低代码流程</w:t>
      </w:r>
    </w:p>
    <w:p>
      <w:pPr>
        <w:spacing w:before="40" w:after="40"/>
        <w:ind w:left="454"/>
      </w:pPr>
      <w:r>
        <w:rPr>
          <w:color w:val="277DA1"/>
          <w:sz w:val="21"/>
        </w:rPr>
        <w:t xml:space="preserve">▸  </w:t>
      </w:r>
      <w:r>
        <w:rPr>
          <w:b/>
          <w:color w:val="1A3A6C"/>
          <w:sz w:val="21"/>
        </w:rPr>
        <w:t>【拆分报价】</w:t>
      </w:r>
      <w:r>
        <w:rPr>
          <w:color w:val="1F2D3D"/>
          <w:sz w:val="21"/>
        </w:rPr>
        <w:t>明确要求出具"采购申请+费用报销"一期版本的独立报价单，确认一期是否可控制在 6 万以内，为后续物料领用模块留出预算空间。</w:t>
      </w:r>
    </w:p>
    <w:p>
      <w:pPr>
        <w:spacing w:before="40" w:after="40"/>
        <w:ind w:left="454"/>
      </w:pPr>
      <w:r>
        <w:rPr>
          <w:color w:val="277DA1"/>
          <w:sz w:val="21"/>
        </w:rPr>
        <w:t xml:space="preserve">▸  </w:t>
      </w:r>
      <w:r>
        <w:rPr>
          <w:b/>
          <w:color w:val="1A3A6C"/>
          <w:sz w:val="21"/>
        </w:rPr>
        <w:t>【字段准备责任】</w:t>
      </w:r>
      <w:r>
        <w:rPr>
          <w:color w:val="1F2D3D"/>
          <w:sz w:val="21"/>
        </w:rPr>
        <w:t>确认甲方需提供哪些原始表格、字段整理工作量预估，明确"如果字段频繁修改"的追加费用机制，避免范围蔓延。</w:t>
      </w:r>
    </w:p>
    <w:p>
      <w:pPr>
        <w:spacing w:before="40" w:after="40"/>
        <w:ind w:left="454"/>
      </w:pPr>
      <w:r>
        <w:rPr>
          <w:color w:val="277DA1"/>
          <w:sz w:val="21"/>
        </w:rPr>
        <w:t xml:space="preserve">▸  </w:t>
      </w:r>
      <w:r>
        <w:rPr>
          <w:b/>
          <w:color w:val="1A3A6C"/>
          <w:sz w:val="21"/>
        </w:rPr>
        <w:t>【钉钉账号许可】</w:t>
      </w:r>
      <w:r>
        <w:rPr>
          <w:color w:val="1F2D3D"/>
          <w:sz w:val="21"/>
        </w:rPr>
        <w:t>确认当前钉钉授权版本是否支持该低代码模块，以及多角色权限配置是否含在报价内。</w:t>
      </w:r>
    </w:p>
    <w:p>
      <w:pPr>
        <w:spacing w:before="40" w:after="40"/>
        <w:ind w:left="454"/>
      </w:pPr>
      <w:r>
        <w:rPr>
          <w:color w:val="277DA1"/>
          <w:sz w:val="21"/>
        </w:rPr>
        <w:t xml:space="preserve">▸  </w:t>
      </w:r>
      <w:r>
        <w:rPr>
          <w:b/>
          <w:color w:val="1A3A6C"/>
          <w:sz w:val="21"/>
        </w:rPr>
        <w:t>【验收标准】</w:t>
      </w:r>
      <w:r>
        <w:rPr>
          <w:color w:val="1F2D3D"/>
          <w:sz w:val="21"/>
        </w:rPr>
        <w:t>要求逐流程明确验收节点和交付物清单（如流程图、测试报告、操作手册）。</w:t>
      </w:r>
    </w:p>
    <w:p>
      <w:pPr>
        <w:spacing w:before="200" w:after="80"/>
        <w:pBdr>
          <w:left w:val="single" w:sz="16" w:space="6" w:color="277DA1"/>
        </w:pBdr>
      </w:pPr>
      <w:r>
        <w:rPr>
          <w:b/>
          <w:i w:val="0"/>
          <w:color w:val="1A3A6C"/>
          <w:sz w:val="24"/>
        </w:rPr>
        <w:t xml:space="preserve">  织流自动化</w:t>
      </w:r>
      <w:r>
        <w:rPr>
          <w:b w:val="0"/>
          <w:i w:val="0"/>
          <w:color w:val="6B7A8D"/>
          <w:sz w:val="20"/>
        </w:rPr>
        <w:t xml:space="preserve">  / RPA财务自动化</w:t>
      </w:r>
    </w:p>
    <w:p>
      <w:pPr>
        <w:spacing w:before="40" w:after="40"/>
        <w:ind w:left="454"/>
      </w:pPr>
      <w:r>
        <w:rPr>
          <w:color w:val="277DA1"/>
          <w:sz w:val="21"/>
        </w:rPr>
        <w:t xml:space="preserve">▸  </w:t>
      </w:r>
      <w:r>
        <w:rPr>
          <w:b/>
          <w:color w:val="1A3A6C"/>
          <w:sz w:val="21"/>
        </w:rPr>
        <w:t>【银行平台逐一核实】</w:t>
      </w:r>
      <w:r>
        <w:rPr>
          <w:color w:val="1F2D3D"/>
          <w:sz w:val="21"/>
        </w:rPr>
        <w:t>列出我司使用的银行名称，要求对方明确逐一说明哪些支持全自动、哪些需半自动（含验证码/U Key），并写入合同附件。</w:t>
      </w:r>
    </w:p>
    <w:p>
      <w:pPr>
        <w:spacing w:before="40" w:after="40"/>
        <w:ind w:left="454"/>
      </w:pPr>
      <w:r>
        <w:rPr>
          <w:color w:val="277DA1"/>
          <w:sz w:val="21"/>
        </w:rPr>
        <w:t xml:space="preserve">▸  </w:t>
      </w:r>
      <w:r>
        <w:rPr>
          <w:b/>
          <w:color w:val="1A3A6C"/>
          <w:sz w:val="21"/>
        </w:rPr>
        <w:t>【样本试跑验证】</w:t>
      </w:r>
      <w:r>
        <w:rPr>
          <w:color w:val="1F2D3D"/>
          <w:sz w:val="21"/>
        </w:rPr>
        <w:t>正式签约前要求对方用我方真实样本（脱敏后）完成一次完整演示，验证发票清单合并和异常校验的实际准确率。</w:t>
      </w:r>
    </w:p>
    <w:p>
      <w:pPr>
        <w:spacing w:before="40" w:after="40"/>
        <w:ind w:left="454"/>
      </w:pPr>
      <w:r>
        <w:rPr>
          <w:color w:val="277DA1"/>
          <w:sz w:val="21"/>
        </w:rPr>
        <w:t xml:space="preserve">▸  </w:t>
      </w:r>
      <w:r>
        <w:rPr>
          <w:b/>
          <w:color w:val="1A3A6C"/>
          <w:sz w:val="21"/>
        </w:rPr>
        <w:t>【维护责任边界】</w:t>
      </w:r>
      <w:r>
        <w:rPr>
          <w:color w:val="1F2D3D"/>
          <w:sz w:val="21"/>
        </w:rPr>
        <w:t>明确银行或税务平台页面升级后，脚本修复的响应时间和收费方式，是否含在质保期内。</w:t>
      </w:r>
    </w:p>
    <w:p>
      <w:pPr>
        <w:spacing w:before="40" w:after="40"/>
        <w:ind w:left="454"/>
      </w:pPr>
      <w:r>
        <w:rPr>
          <w:color w:val="277DA1"/>
          <w:sz w:val="21"/>
        </w:rPr>
        <w:t xml:space="preserve">▸  </w:t>
      </w:r>
      <w:r>
        <w:rPr>
          <w:b/>
          <w:color w:val="1A3A6C"/>
          <w:sz w:val="21"/>
        </w:rPr>
        <w:t>【OCR复核流程】</w:t>
      </w:r>
      <w:r>
        <w:rPr>
          <w:color w:val="1F2D3D"/>
          <w:sz w:val="21"/>
        </w:rPr>
        <w:t>书面明确哪些场景下 OCR 结果需人工复核，避免"识别失败"成为验收争议点。</w:t>
      </w:r>
    </w:p>
    <w:p>
      <w:pPr>
        <w:spacing w:before="200" w:after="80"/>
        <w:pBdr>
          <w:left w:val="single" w:sz="16" w:space="6" w:color="277DA1"/>
        </w:pBdr>
      </w:pPr>
      <w:r>
        <w:rPr>
          <w:b/>
          <w:i w:val="0"/>
          <w:color w:val="1A3A6C"/>
          <w:sz w:val="24"/>
        </w:rPr>
        <w:t xml:space="preserve">  企答智能</w:t>
      </w:r>
      <w:r>
        <w:rPr>
          <w:b w:val="0"/>
          <w:i w:val="0"/>
          <w:color w:val="6B7A8D"/>
          <w:sz w:val="20"/>
        </w:rPr>
        <w:t xml:space="preserve">  / AI客服知识库</w:t>
      </w:r>
    </w:p>
    <w:p>
      <w:pPr>
        <w:spacing w:before="40" w:after="40"/>
        <w:ind w:left="454"/>
      </w:pPr>
      <w:r>
        <w:rPr>
          <w:color w:val="277DA1"/>
          <w:sz w:val="21"/>
        </w:rPr>
        <w:t xml:space="preserve">▸  </w:t>
      </w:r>
      <w:r>
        <w:rPr>
          <w:b/>
          <w:color w:val="1A3A6C"/>
          <w:sz w:val="21"/>
        </w:rPr>
        <w:t>【企微/现有客服接入费用】</w:t>
      </w:r>
      <w:r>
        <w:rPr>
          <w:color w:val="1F2D3D"/>
          <w:sz w:val="21"/>
        </w:rPr>
        <w:t>明确要求出具企微渠道接入的独立报价，评估是否纳入本期或列为二期，避免上线后出现渠道孤岛。</w:t>
      </w:r>
    </w:p>
    <w:p>
      <w:pPr>
        <w:spacing w:before="40" w:after="40"/>
        <w:ind w:left="454"/>
      </w:pPr>
      <w:r>
        <w:rPr>
          <w:color w:val="277DA1"/>
          <w:sz w:val="21"/>
        </w:rPr>
        <w:t xml:space="preserve">▸  </w:t>
      </w:r>
      <w:r>
        <w:rPr>
          <w:b/>
          <w:color w:val="1A3A6C"/>
          <w:sz w:val="21"/>
        </w:rPr>
        <w:t>【知识库建设分工】</w:t>
      </w:r>
      <w:r>
        <w:rPr>
          <w:color w:val="1F2D3D"/>
          <w:sz w:val="21"/>
        </w:rPr>
        <w:t>确认甲方需准备的资料清单（数量、格式、质量要求），明确"资料不达标"时的延期责任归属。</w:t>
      </w:r>
    </w:p>
    <w:p>
      <w:pPr>
        <w:spacing w:before="40" w:after="40"/>
        <w:ind w:left="454"/>
      </w:pPr>
      <w:r>
        <w:rPr>
          <w:color w:val="277DA1"/>
          <w:sz w:val="21"/>
        </w:rPr>
        <w:t xml:space="preserve">▸  </w:t>
      </w:r>
      <w:r>
        <w:rPr>
          <w:b/>
          <w:color w:val="1A3A6C"/>
          <w:sz w:val="21"/>
        </w:rPr>
        <w:t>【"不乱答"机制写入合同】</w:t>
      </w:r>
      <w:r>
        <w:rPr>
          <w:color w:val="1F2D3D"/>
          <w:sz w:val="21"/>
        </w:rPr>
        <w:t>要求将"无依据不回答""回答时引用来源"作为系统验收的技术指标，并明确准确率基准。</w:t>
      </w:r>
    </w:p>
    <w:p>
      <w:pPr>
        <w:spacing w:before="40" w:after="40"/>
        <w:ind w:left="454"/>
      </w:pPr>
      <w:r>
        <w:rPr>
          <w:color w:val="277DA1"/>
          <w:sz w:val="21"/>
        </w:rPr>
        <w:t xml:space="preserve">▸  </w:t>
      </w:r>
      <w:r>
        <w:rPr>
          <w:b/>
          <w:color w:val="1A3A6C"/>
          <w:sz w:val="21"/>
        </w:rPr>
        <w:t>【4周调优的范围定义】</w:t>
      </w:r>
      <w:r>
        <w:rPr>
          <w:color w:val="1F2D3D"/>
          <w:sz w:val="21"/>
        </w:rPr>
        <w:t>明确调优包含哪些具体内容（如最大调整次数、响应时间），防止调优期结束后变成收费服务。</w:t>
      </w:r>
    </w:p>
    <w:p/>
    <w:p>
      <w:pPr>
        <w:spacing w:before="120" w:after="80"/>
        <w:jc w:val="left"/>
      </w:pPr>
      <w:r>
        <w:rPr>
          <w:b/>
          <w:i w:val="0"/>
          <w:color w:val="1A3A6C"/>
          <w:sz w:val="28"/>
        </w:rPr>
        <w:t>六、综合建议</w:t>
      </w:r>
    </w:p>
    <w:p>
      <w:pPr>
        <w:spacing w:before="0" w:after="0"/>
        <w:pBdr>
          <w:bottom w:val="single" w:sz="6" w:space="1" w:color="277DA1"/>
        </w:pBdr>
      </w:pPr>
    </w:p>
    <w:p>
      <w:pPr>
        <w:spacing w:before="160" w:after="80"/>
      </w:pPr>
      <w:r>
        <w:rPr>
          <w:color w:val="1F2D3D"/>
          <w:sz w:val="22"/>
        </w:rPr>
        <w:t>本次初筛综合评估结果显示，在10万元预算框架内，三家供应商的方向互补性良好：云序数科解决内部流程线上化，织流自动化解决财务重复劳动，企答智能解决客服效率与信息沉淀，三者合计报价约 261,400 元，若分期推进（先启动最优先的一到两家），首期可控制在 10 万以内。</w:t>
        <w:br/>
        <w:br/>
        <w:t>建议领导批准后，优先推进云序数科与织流自动化的进一步沟通，同步要求双方出具分期报价和正式合同条款草稿。企答智能可在甲方完成内部 FAQ 整理后启动，时序上可错开，减轻内部推进压力。</w:t>
        <w:br/>
        <w:br/>
        <w:t>以上建议仅基于初步沟通纪要及口头报价，正式决策前建议要求各家出具书面报价单，并核实案例客户的实施情况。</w:t>
      </w:r>
    </w:p>
    <w:p/>
    <w:p>
      <w:pPr>
        <w:spacing w:before="0" w:after="0"/>
        <w:pBdr>
          <w:bottom w:val="single" w:sz="8" w:space="1" w:color="1A3A6C"/>
        </w:pBdr>
      </w:pPr>
    </w:p>
    <w:p>
      <w:pPr>
        <w:spacing w:before="80" w:after="80"/>
        <w:jc w:val="center"/>
      </w:pPr>
      <w:r>
        <w:rPr>
          <w:b w:val="0"/>
          <w:i/>
          <w:color w:val="6B7A8D"/>
          <w:sz w:val="18"/>
        </w:rPr>
        <w:t>本报告基于2026年4月沟通纪要整理，初步报价均为口头报价，正式合同金额以双方书面确认为准。</w:t>
      </w:r>
    </w:p>
    <w:sectPr w:rsidR="00FC693F" w:rsidRPr="0006063C" w:rsidSect="00034616">
      <w:pgSz w:w="11906" w:h="16838"/>
      <w:pgMar w:top="1417" w:right="1587" w:bottom="1417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